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D601" w14:textId="77777777" w:rsidR="006A4E4B" w:rsidRDefault="006A4E4B" w:rsidP="003D2B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</w:pPr>
      <w:r>
        <w:rPr>
          <w:noProof/>
        </w:rPr>
        <w:drawing>
          <wp:inline distT="0" distB="0" distL="0" distR="0" wp14:anchorId="42673102" wp14:editId="3AFA67D8">
            <wp:extent cx="5400040" cy="683260"/>
            <wp:effectExtent l="0" t="0" r="0" b="2540"/>
            <wp:docPr id="911429967" name="Picture 1" descr="A blu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29967" name="Picture 1" descr="A blue sign with white lett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50A8" w14:textId="77777777" w:rsidR="006A4E4B" w:rsidRPr="006A4E4B" w:rsidRDefault="006A4E4B" w:rsidP="003D2B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</w:p>
    <w:p w14:paraId="39BAA47B" w14:textId="6712B608" w:rsidR="003D2BE9" w:rsidRPr="006A4E4B" w:rsidRDefault="003D2BE9" w:rsidP="003D2B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  <w:t>ALIAXIN SHAPE &amp; RESTORE</w:t>
      </w:r>
    </w:p>
    <w:p w14:paraId="5E9FA87A" w14:textId="34543890" w:rsidR="003D2BE9" w:rsidRPr="006A4E4B" w:rsidRDefault="003D2BE9" w:rsidP="003D2B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  <w:t xml:space="preserve">By Dra. Carolina </w:t>
      </w:r>
      <w:proofErr w:type="spellStart"/>
      <w:r w:rsidRPr="006A4E4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AR"/>
          <w14:ligatures w14:val="none"/>
        </w:rPr>
        <w:t>Rovetto</w:t>
      </w:r>
      <w:proofErr w:type="spellEnd"/>
    </w:p>
    <w:p w14:paraId="12F56790" w14:textId="77777777" w:rsidR="003D2BE9" w:rsidRPr="006A4E4B" w:rsidRDefault="003D2BE9" w:rsidP="003D2BE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AR"/>
          <w14:ligatures w14:val="none"/>
        </w:rPr>
      </w:pPr>
    </w:p>
    <w:p w14:paraId="6FDB09DF" w14:textId="6AAC7D23" w:rsidR="003D2BE9" w:rsidRPr="006A4E4B" w:rsidRDefault="003D2BE9" w:rsidP="006A4E4B">
      <w:pPr>
        <w:spacing w:after="0" w:line="240" w:lineRule="auto"/>
        <w:jc w:val="both"/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 xml:space="preserve">Es un motivo frecuente en las consultas que nuestros pacientes </w:t>
      </w:r>
      <w:proofErr w:type="gramStart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>busquen  obtener</w:t>
      </w:r>
      <w:proofErr w:type="gramEnd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 xml:space="preserve"> la piel hidratada, suave y ese </w:t>
      </w:r>
      <w:proofErr w:type="spellStart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>glow</w:t>
      </w:r>
      <w:proofErr w:type="spellEnd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 xml:space="preserve"> asociado a una piel vital y saludable. Desde el laboratorio </w:t>
      </w: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shd w:val="clear" w:color="auto" w:fill="F8F9FA"/>
          <w:lang w:eastAsia="es-AR"/>
          <w14:ligatures w14:val="none"/>
        </w:rPr>
        <w:t>IBSA</w:t>
      </w: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 Italia Concepto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Hydrolift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®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Action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, p</w:t>
      </w: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shd w:val="clear" w:color="auto" w:fill="F8F9FA"/>
          <w:lang w:eastAsia="es-AR"/>
          <w14:ligatures w14:val="none"/>
        </w:rPr>
        <w:t>ionero en producir</w:t>
      </w: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 xml:space="preserve"> un ácido hialurónico único en el mercado que cubre muchas de </w:t>
      </w:r>
      <w:proofErr w:type="gramStart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>las  necesidades</w:t>
      </w:r>
      <w:proofErr w:type="gramEnd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 xml:space="preserve"> de nuestros pacientes. </w:t>
      </w:r>
      <w:proofErr w:type="spellStart"/>
      <w:r w:rsidRPr="006A4E4B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Aliaxin</w:t>
      </w:r>
      <w:proofErr w:type="spellEnd"/>
      <w:r w:rsidRPr="006A4E4B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SR</w:t>
      </w: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</w:t>
      </w: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>puede utilizarse para restaurar la plenitud natural y la juventud del rostro.</w:t>
      </w:r>
    </w:p>
    <w:p w14:paraId="3531BE58" w14:textId="77777777" w:rsidR="006A4E4B" w:rsidRPr="006A4E4B" w:rsidRDefault="006A4E4B" w:rsidP="006A4E4B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</w:p>
    <w:p w14:paraId="4116AAD2" w14:textId="0FC68FF1" w:rsidR="003D2BE9" w:rsidRPr="006A4E4B" w:rsidRDefault="003D2BE9" w:rsidP="006A4E4B">
      <w:pPr>
        <w:spacing w:after="0" w:line="240" w:lineRule="auto"/>
        <w:jc w:val="both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Aliaxin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® SR gracias a su poder de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biorregenerador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 (da Forma y restaura) ha sido formulado exclusivamente con HA (ácido hialurónico) tanto natural como reticulado según resultante en un producto antienvejecimiento completo especialmente indicado para hidratar (debido a su capacidad higroscópica), estimulante (estimulación biológica acción sobre los fibroblastos). </w:t>
      </w:r>
      <w:proofErr w:type="spellStart"/>
      <w:r w:rsidRPr="006A4E4B">
        <w:rPr>
          <w:rFonts w:ascii="Georgia" w:eastAsia="Times New Roman" w:hAnsi="Georgia" w:cs="Arial"/>
          <w:b/>
          <w:bCs/>
          <w:color w:val="202124"/>
          <w:kern w:val="0"/>
          <w:sz w:val="24"/>
          <w:szCs w:val="24"/>
          <w:lang w:eastAsia="es-AR"/>
          <w14:ligatures w14:val="none"/>
        </w:rPr>
        <w:t>Aliaxin®SR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, un gel monofásico que contiene HA de tres distintos pesos moleculares (500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kDa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, 1000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kDa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, 2000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kDa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), permite médicos para realizar un excelente levantamiento de arrugas cutáneas y estimulación de la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neocolagénesis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, con el objetivo final de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biorrestructuración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. El adicional es la presencia del 10% de HA natural otorga una importante efecto hidratante tomando sólo unas pocas semanas después su aplicación para obtener los máximos resultados </w:t>
      </w:r>
      <w:proofErr w:type="gram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vistos(</w:t>
      </w:r>
      <w:proofErr w:type="gram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basados en controles fotográficos y escalas de satisfacción tanto de pacientes como  médicos inyectores).</w:t>
      </w:r>
    </w:p>
    <w:p w14:paraId="0F7F330E" w14:textId="77777777" w:rsidR="006A4E4B" w:rsidRPr="006A4E4B" w:rsidRDefault="006A4E4B" w:rsidP="006A4E4B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</w:p>
    <w:p w14:paraId="1DA4090B" w14:textId="77777777" w:rsidR="003D2BE9" w:rsidRPr="006A4E4B" w:rsidRDefault="003D2BE9" w:rsidP="006A4E4B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 xml:space="preserve">Allí unifica el tejido y rellena así las arrugas más pequeñas, ya </w:t>
      </w:r>
      <w:proofErr w:type="gramStart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lang w:eastAsia="es-AR"/>
          <w14:ligatures w14:val="none"/>
        </w:rPr>
        <w:t>visibles</w:t>
      </w: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  (</w:t>
      </w:r>
      <w:proofErr w:type="gram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acción mecánica de llenado y elevación) y  multitud de defectos de la piel.</w:t>
      </w:r>
    </w:p>
    <w:p w14:paraId="38FB9ACD" w14:textId="77777777" w:rsidR="003D2BE9" w:rsidRPr="006A4E4B" w:rsidRDefault="003D2BE9" w:rsidP="006A4E4B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</w:p>
    <w:p w14:paraId="276E7FF8" w14:textId="77777777" w:rsidR="003D2BE9" w:rsidRPr="006A4E4B" w:rsidRDefault="003D2BE9" w:rsidP="006A4E4B">
      <w:pPr>
        <w:shd w:val="clear" w:color="auto" w:fill="FFFFFF"/>
        <w:spacing w:after="180" w:line="240" w:lineRule="auto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b/>
          <w:bCs/>
          <w:color w:val="202124"/>
          <w:kern w:val="0"/>
          <w:sz w:val="24"/>
          <w:szCs w:val="24"/>
          <w:lang w:eastAsia="es-AR"/>
          <w14:ligatures w14:val="none"/>
        </w:rPr>
        <w:t>Dentro de las indicaciones sugeridas se encuentran:</w:t>
      </w:r>
    </w:p>
    <w:p w14:paraId="55300A3C" w14:textId="77777777" w:rsidR="003D2BE9" w:rsidRPr="006A4E4B" w:rsidRDefault="003D2BE9" w:rsidP="006A4E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Pliegues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nasolabiales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.</w:t>
      </w:r>
    </w:p>
    <w:p w14:paraId="2F058207" w14:textId="4F8CD197" w:rsidR="003D2BE9" w:rsidRPr="006A4E4B" w:rsidRDefault="003D2BE9" w:rsidP="006A4E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Arrugas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periorales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,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glabelares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, perioculares.</w:t>
      </w:r>
    </w:p>
    <w:p w14:paraId="015A2568" w14:textId="77777777" w:rsidR="003D2BE9" w:rsidRPr="006A4E4B" w:rsidRDefault="003D2BE9" w:rsidP="006A4E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Cicatrices faciales y de acné.</w:t>
      </w:r>
    </w:p>
    <w:p w14:paraId="7A59B89B" w14:textId="77777777" w:rsidR="003D2BE9" w:rsidRPr="006A4E4B" w:rsidRDefault="003D2BE9" w:rsidP="006A4E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Region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 frontales.</w:t>
      </w:r>
    </w:p>
    <w:p w14:paraId="5F0C0A7E" w14:textId="14157F95" w:rsidR="003D2BE9" w:rsidRPr="006A4E4B" w:rsidRDefault="003D2BE9" w:rsidP="006A4E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Áreas del rostro que han perdido volumen en planos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mas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 superficiales de la piel (</w:t>
      </w:r>
      <w:proofErr w:type="spellStart"/>
      <w:proofErr w:type="gram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temporal,pómulos</w:t>
      </w:r>
      <w:proofErr w:type="gram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,preauricular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, mentón, labios) permitiendo </w:t>
      </w:r>
      <w:proofErr w:type="spellStart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asi</w:t>
      </w:r>
      <w:proofErr w:type="spellEnd"/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 xml:space="preserve"> un efecto lifting en pieles con buen soporte anatómico  de volumen de compartimentos grasos profundos.</w:t>
      </w:r>
    </w:p>
    <w:p w14:paraId="6BFB76A3" w14:textId="16A58D45" w:rsidR="003D2BE9" w:rsidRPr="006A4E4B" w:rsidRDefault="003D2BE9" w:rsidP="006A4E4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Cuello (líneas de Venus).</w:t>
      </w:r>
    </w:p>
    <w:p w14:paraId="29033684" w14:textId="7532C624" w:rsidR="003D2BE9" w:rsidRPr="006A4E4B" w:rsidRDefault="003D2BE9" w:rsidP="006A4E4B">
      <w:pPr>
        <w:numPr>
          <w:ilvl w:val="0"/>
          <w:numId w:val="1"/>
        </w:numPr>
        <w:spacing w:after="60" w:line="240" w:lineRule="auto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  <w:t>Manos (pérdida de volumen, arrugas finas e hidratación.</w:t>
      </w:r>
    </w:p>
    <w:p w14:paraId="4B816C84" w14:textId="77777777" w:rsidR="006A4E4B" w:rsidRPr="006A4E4B" w:rsidRDefault="006A4E4B" w:rsidP="006A4E4B">
      <w:pPr>
        <w:spacing w:after="60" w:line="240" w:lineRule="auto"/>
        <w:ind w:left="720"/>
        <w:jc w:val="both"/>
        <w:textAlignment w:val="baseline"/>
        <w:rPr>
          <w:rFonts w:ascii="Georgia" w:eastAsia="Times New Roman" w:hAnsi="Georgia" w:cs="Arial"/>
          <w:color w:val="202124"/>
          <w:kern w:val="0"/>
          <w:sz w:val="24"/>
          <w:szCs w:val="24"/>
          <w:lang w:eastAsia="es-AR"/>
          <w14:ligatures w14:val="none"/>
        </w:rPr>
      </w:pPr>
    </w:p>
    <w:p w14:paraId="0D9A11D2" w14:textId="77777777" w:rsidR="006A4E4B" w:rsidRPr="006A4E4B" w:rsidRDefault="003D2BE9" w:rsidP="006A4E4B">
      <w:pPr>
        <w:spacing w:after="60" w:line="240" w:lineRule="auto"/>
        <w:ind w:left="-142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El ácido hialurónico se integra perfectamente en la estructura cutánea existente, por lo que no hay transiciones difíciles. Inmediatamente después de la inyección se produce un efecto </w:t>
      </w:r>
      <w:proofErr w:type="gramStart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>lifting</w:t>
      </w:r>
      <w:proofErr w:type="gramEnd"/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natural, pero también a largo plazo este producto convence por sus propiedades positivas. Esto se debe a que el ácido hialurónico estimula y regenera la estructura del colágeno de la piel, lo que a su vez contribuye a una mejora duradera.</w:t>
      </w:r>
      <w:r w:rsidRPr="006A4E4B">
        <w:rPr>
          <w:rFonts w:ascii="Georgia" w:eastAsia="Times New Roman" w:hAnsi="Georgia" w:cs="Arial"/>
          <w:b/>
          <w:bCs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 </w:t>
      </w: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t xml:space="preserve">Dependiendo del objetivo del tratamiento el plano de </w:t>
      </w:r>
      <w:r w:rsidRPr="006A4E4B">
        <w:rPr>
          <w:rFonts w:ascii="Georgia" w:eastAsia="Times New Roman" w:hAnsi="Georgia" w:cs="Arial"/>
          <w:color w:val="000000"/>
          <w:kern w:val="0"/>
          <w:sz w:val="24"/>
          <w:szCs w:val="24"/>
          <w:shd w:val="clear" w:color="auto" w:fill="FFFFFF"/>
          <w:lang w:eastAsia="es-AR"/>
          <w14:ligatures w14:val="none"/>
        </w:rPr>
        <w:lastRenderedPageBreak/>
        <w:t>inyección es en las capas medias y profundas de la dermis y también puede utilizarse para remodelar el contorno facial. </w:t>
      </w:r>
    </w:p>
    <w:p w14:paraId="49484E82" w14:textId="77777777" w:rsidR="006A4E4B" w:rsidRPr="006A4E4B" w:rsidRDefault="006A4E4B" w:rsidP="006A4E4B">
      <w:pPr>
        <w:spacing w:after="60" w:line="240" w:lineRule="auto"/>
        <w:ind w:left="-142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</w:p>
    <w:p w14:paraId="4B2EE445" w14:textId="733EBF93" w:rsidR="003D2BE9" w:rsidRPr="006A4E4B" w:rsidRDefault="003D2BE9" w:rsidP="006A4E4B">
      <w:pPr>
        <w:spacing w:after="60" w:line="240" w:lineRule="auto"/>
        <w:ind w:left="-142"/>
        <w:jc w:val="both"/>
        <w:rPr>
          <w:rFonts w:ascii="Georgia" w:eastAsia="Times New Roman" w:hAnsi="Georgia" w:cs="Times New Roman"/>
          <w:kern w:val="0"/>
          <w:sz w:val="24"/>
          <w:szCs w:val="24"/>
          <w:lang w:eastAsia="es-AR"/>
          <w14:ligatures w14:val="none"/>
        </w:rPr>
      </w:pPr>
      <w:r w:rsidRPr="006A4E4B">
        <w:rPr>
          <w:rFonts w:ascii="Georgia" w:eastAsia="Times New Roman" w:hAnsi="Georgia" w:cs="Times New Roman"/>
          <w:color w:val="1F1F1F"/>
          <w:kern w:val="0"/>
          <w:sz w:val="24"/>
          <w:szCs w:val="24"/>
          <w:lang w:eastAsia="es-AR"/>
          <w14:ligatures w14:val="none"/>
        </w:rPr>
        <w:t xml:space="preserve">La tendencia actual en los procedimientos de aumento de tejidos blandos es hacia productos para un tratamiento de rostro completo: el objetivo no es solo rellenar arrugas o defectos individuales, sino también obtener una restauración global del rostro, incluyendo volumen de tejido, armonización e hidratación. </w:t>
      </w:r>
    </w:p>
    <w:p w14:paraId="46CB17AC" w14:textId="77777777" w:rsidR="00B04CD2" w:rsidRDefault="00B04CD2"/>
    <w:sectPr w:rsidR="00B04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60EC"/>
    <w:multiLevelType w:val="multilevel"/>
    <w:tmpl w:val="23F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85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E9"/>
    <w:rsid w:val="003D2BE9"/>
    <w:rsid w:val="004008D0"/>
    <w:rsid w:val="005A658C"/>
    <w:rsid w:val="006A4E4B"/>
    <w:rsid w:val="00B04CD2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A131"/>
  <w15:chartTrackingRefBased/>
  <w15:docId w15:val="{8FA95B64-29CD-4B4C-AC42-78565B66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B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B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B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B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B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BE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Laudonia</dc:creator>
  <cp:keywords/>
  <dc:description/>
  <cp:lastModifiedBy>Paola Laudonia</cp:lastModifiedBy>
  <cp:revision>2</cp:revision>
  <dcterms:created xsi:type="dcterms:W3CDTF">2024-07-10T21:21:00Z</dcterms:created>
  <dcterms:modified xsi:type="dcterms:W3CDTF">2024-07-10T21:21:00Z</dcterms:modified>
</cp:coreProperties>
</file>